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091F" w14:textId="77777777" w:rsidR="00D8694E" w:rsidRPr="00D8694E" w:rsidRDefault="00D8694E" w:rsidP="00D8694E">
      <w:pPr>
        <w:spacing w:before="240" w:after="0" w:line="240" w:lineRule="auto"/>
        <w:jc w:val="center"/>
        <w:rPr>
          <w:rFonts w:ascii="Arial" w:eastAsia="Times New Roman" w:hAnsi="Arial" w:cs="Arial"/>
          <w:b/>
          <w:bCs/>
          <w:color w:val="0057A7"/>
          <w:kern w:val="36"/>
          <w:sz w:val="28"/>
          <w:szCs w:val="28"/>
          <w:lang w:eastAsia="it-IT"/>
          <w14:ligatures w14:val="none"/>
        </w:rPr>
      </w:pPr>
      <w:bookmarkStart w:id="0" w:name="_Hlk159408651"/>
      <w:r w:rsidRPr="00D8694E">
        <w:rPr>
          <w:rFonts w:ascii="Arial" w:eastAsia="Times New Roman" w:hAnsi="Arial" w:cs="Arial"/>
          <w:b/>
          <w:bCs/>
          <w:color w:val="0057A7"/>
          <w:kern w:val="36"/>
          <w:sz w:val="28"/>
          <w:szCs w:val="28"/>
          <w:lang w:eastAsia="it-IT"/>
          <w14:ligatures w14:val="none"/>
        </w:rPr>
        <w:t>Informativa Privacy Iscrizione newsletter ADR Innovation</w:t>
      </w:r>
    </w:p>
    <w:p w14:paraId="6CDB8E3A"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Ai sensi della normativa vigente in materia di privacy (Regolamento Europeo 2016/679 “GDPR” e D. Lgs. n. 196/03 e successive modifiche ed integrazioni) viene fornita la seguente informativa in relazione al servizio per le richieste di iscrizione alla newsletter di ADR Innovation.</w:t>
      </w:r>
    </w:p>
    <w:p w14:paraId="3DEC281A"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1. TITOLARE DEL TRATTAMENTO</w:t>
      </w:r>
    </w:p>
    <w:p w14:paraId="27CB4FFA"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Aeroporti di Roma S.p.A. (ADR) con sede in via Pier Paolo Racchetti, 1 - 00054 Fiumicino (Roma).</w:t>
      </w:r>
    </w:p>
    <w:p w14:paraId="3DC7FE31"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2. DATA PROTECTION OFFICER</w:t>
      </w:r>
    </w:p>
    <w:p w14:paraId="3C6F6582"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ADR ha nominato un Data Protection Officer. I dati di contatto del Data Protection Officer sono disponibili su </w:t>
      </w:r>
      <w:hyperlink r:id="rId4" w:history="1">
        <w:r w:rsidRPr="00D8694E">
          <w:rPr>
            <w:rFonts w:ascii="inherit" w:eastAsia="Times New Roman" w:hAnsi="inherit" w:cs="Arial"/>
            <w:color w:val="0563C1"/>
            <w:kern w:val="0"/>
            <w:sz w:val="24"/>
            <w:szCs w:val="24"/>
            <w:u w:val="single"/>
            <w:lang w:eastAsia="it-IT"/>
            <w14:ligatures w14:val="none"/>
          </w:rPr>
          <w:t>www.adr.it</w:t>
        </w:r>
      </w:hyperlink>
      <w:r w:rsidRPr="00D8694E">
        <w:rPr>
          <w:rFonts w:ascii="inherit" w:eastAsia="Times New Roman" w:hAnsi="inherit" w:cs="Arial"/>
          <w:color w:val="616972"/>
          <w:kern w:val="0"/>
          <w:sz w:val="24"/>
          <w:szCs w:val="24"/>
          <w:lang w:eastAsia="it-IT"/>
          <w14:ligatures w14:val="none"/>
        </w:rPr>
        <w:t xml:space="preserve"> </w:t>
      </w:r>
    </w:p>
    <w:p w14:paraId="1895FF8D" w14:textId="77777777" w:rsidR="00D8694E" w:rsidRPr="00D8694E" w:rsidRDefault="00D8694E" w:rsidP="00D8694E">
      <w:pPr>
        <w:spacing w:before="240" w:after="0" w:line="240" w:lineRule="auto"/>
        <w:jc w:val="both"/>
        <w:rPr>
          <w:rFonts w:ascii="Garamond" w:eastAsia="Garamond" w:hAnsi="Garamond" w:cs="Garamond"/>
          <w:b/>
          <w:color w:val="1F4E79"/>
          <w:kern w:val="0"/>
          <w:sz w:val="24"/>
          <w:szCs w:val="24"/>
          <w14:ligatures w14:val="none"/>
        </w:rPr>
      </w:pPr>
      <w:r w:rsidRPr="00D8694E">
        <w:rPr>
          <w:rFonts w:ascii="Arial" w:eastAsia="Times New Roman" w:hAnsi="Arial" w:cs="Arial"/>
          <w:b/>
          <w:bCs/>
          <w:color w:val="0057A7"/>
          <w:kern w:val="36"/>
          <w:sz w:val="24"/>
          <w:szCs w:val="24"/>
          <w:lang w:eastAsia="it-IT"/>
          <w14:ligatures w14:val="none"/>
        </w:rPr>
        <w:t>3. FINALITA' E BASE GIURIDICA DEL TRATTAMENTO</w:t>
      </w:r>
    </w:p>
    <w:p w14:paraId="4D797719"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ADR tratterà i suoi dati personali al solo scopo di inviarle le comunicazioni sul mondo ADR Innovation da lei richiesto. Il trattamento dei dati da Lei inseriti verrà effettuato al fine di fornirle il servizio richiesto (art. 6, paragrafo 1, lett. b, GDPR). Il conferimento dei dati è necessario per il perseguimento della suddetta finalità, in caso di suo  diniego al trattamento dei dati non sarà possibile fornirle le prestazioni richieste. Ove la richiesta di iscrizione alla newsletter venga inserita per conto dell’interessato da un soggetto terzo incaricato, ADR raccoglie i dati presso tali soggetti ai sensi dell’art. 14 GDPR. Con la presa visione della presente Informativa colui che effettui la richiesta mediante il presente modulo dichiara: (i) di impegnarsi ad informare debitamente i soggetti interessati circa la comunicazione dei dati ad ADR per la richiesta in oggetto e ad informarlo sul contenuto della presente informativa (ii) a manlevare espressamente ADR da ogni responsabilità derivante dalla illegittima comunicazione dei suddetti dati.</w:t>
      </w:r>
    </w:p>
    <w:p w14:paraId="47DAE0BC"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4. TIPOLOGIE DI DATI TRATTATI</w:t>
      </w:r>
    </w:p>
    <w:p w14:paraId="32EC604B"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I dati trattati da ADR includono dati personali di tipo comune quali l’indirizzo e-mail. </w:t>
      </w:r>
    </w:p>
    <w:p w14:paraId="3136E87A"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5. MODALITA' DEL TRATTAMENTO</w:t>
      </w:r>
    </w:p>
    <w:p w14:paraId="228151E2"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I dati sono trattati nel rispetto delle norme vigenti a mezzo di strumenti manuali, informatici e telematici, con logiche strettamente connesse alla finalità sopra indicata, in modo da garantire la sicurezza e la riservatezza dei dati stessi.</w:t>
      </w:r>
    </w:p>
    <w:p w14:paraId="562F2278"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6. TEMPI DI CONSERVAZIONE DEI DATI</w:t>
      </w:r>
    </w:p>
    <w:p w14:paraId="694A277D"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I Suoi Dati Personali saranno conservati solo per il tempo necessario alle finalità per le quali vengono raccolti nel rispetto del principio di minimizzazione ex art. 5.1, lett. c GDPR, in particolare, per quanto riguarda l’invio della newsletter, i dati personali saranno trattati finché l’utente utilizza il servizio, con possibilità per l’utente di interrompere la ricezione delle comunicazioni (opt-out) in qualsiasi momento con le modalità indicate al successivo paragrafo 9 e/o mediante l’apposito link presente nelle comunicazioni ricevute. </w:t>
      </w:r>
    </w:p>
    <w:p w14:paraId="5CD9D4B4" w14:textId="77777777" w:rsidR="00D8694E" w:rsidRPr="00D8694E" w:rsidRDefault="00D8694E" w:rsidP="00D8694E">
      <w:pPr>
        <w:spacing w:before="240" w:after="0" w:line="240" w:lineRule="auto"/>
        <w:jc w:val="both"/>
        <w:rPr>
          <w:rFonts w:ascii="Arial" w:eastAsia="Times New Roman" w:hAnsi="Arial" w:cs="Arial"/>
          <w:b/>
          <w:bCs/>
          <w:color w:val="0057A7"/>
          <w:kern w:val="36"/>
          <w:sz w:val="24"/>
          <w:szCs w:val="24"/>
          <w:lang w:eastAsia="it-IT"/>
          <w14:ligatures w14:val="none"/>
        </w:rPr>
      </w:pPr>
      <w:r w:rsidRPr="00D8694E">
        <w:rPr>
          <w:rFonts w:ascii="Arial" w:eastAsia="Times New Roman" w:hAnsi="Arial" w:cs="Arial"/>
          <w:b/>
          <w:bCs/>
          <w:color w:val="0057A7"/>
          <w:kern w:val="36"/>
          <w:sz w:val="24"/>
          <w:szCs w:val="24"/>
          <w:lang w:eastAsia="it-IT"/>
          <w14:ligatures w14:val="none"/>
        </w:rPr>
        <w:t>7. DESTINATARI DEI DATI</w:t>
      </w:r>
    </w:p>
    <w:p w14:paraId="2BC1E59E"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lastRenderedPageBreak/>
        <w:t>All'interno di ADR S.p.A. possono venire a conoscenza dei dati da lei forniti esclusivamente i soggetti incaricati del trattamento dal Titolare e autorizzati a compiere le operazioni di trattamento per rispondere alle finalità di cui al punto 3.Inoltre, i suoi dati potranno essere trattati dalle sole società terze a cui ADR potrebbe affidare specifiche attività e servizi connessi alla gestione del sito internet e/o all’invio della newsletter. In particolare, i tuoi dati potranno essere trattati dai soggetti di cui il Titolare si avvale per manutenere e gestire i sistemi utilizzati in qualità di Responsabile esterno (i.e. ADR TEL S.p.A.) e dei Sub-Responsabili di cui lo stesso si avvale. Per un elenco completo potrà contattare in qualsiasi momento il Titolare. I dati potranno essere comunicati alle competenti Pubbliche Autorità in adempimento ad obblighi di legge. In ogni caso i suoi dati personali non saranno oggetto di diffusione.</w:t>
      </w:r>
    </w:p>
    <w:p w14:paraId="4892AB46" w14:textId="77777777" w:rsidR="00D8694E" w:rsidRPr="00D8694E" w:rsidRDefault="00D8694E" w:rsidP="00D8694E">
      <w:pPr>
        <w:spacing w:before="240" w:after="0" w:line="240" w:lineRule="auto"/>
        <w:jc w:val="both"/>
        <w:rPr>
          <w:rFonts w:ascii="Garamond" w:eastAsia="Garamond" w:hAnsi="Garamond" w:cs="Garamond"/>
          <w:b/>
          <w:color w:val="1F4E79"/>
          <w:kern w:val="0"/>
          <w:sz w:val="24"/>
          <w:szCs w:val="24"/>
          <w14:ligatures w14:val="none"/>
        </w:rPr>
      </w:pPr>
      <w:r w:rsidRPr="00D8694E">
        <w:rPr>
          <w:rFonts w:ascii="Arial" w:eastAsia="Times New Roman" w:hAnsi="Arial" w:cs="Arial"/>
          <w:b/>
          <w:bCs/>
          <w:color w:val="0057A7"/>
          <w:kern w:val="36"/>
          <w:sz w:val="24"/>
          <w:szCs w:val="24"/>
          <w:lang w:eastAsia="it-IT"/>
          <w14:ligatures w14:val="none"/>
        </w:rPr>
        <w:t>8. TRASFERIMENTO DEI DATI EXTRA UE</w:t>
      </w:r>
    </w:p>
    <w:p w14:paraId="3DC18435"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I Dati non saranno oggetto di diffusione e/o comunicazione verso soggetti terzi localizzati al di fuori dello Spazio Economico Europeo. </w:t>
      </w:r>
    </w:p>
    <w:p w14:paraId="43F9AEAF" w14:textId="77777777" w:rsidR="00D8694E" w:rsidRPr="00D8694E" w:rsidRDefault="00D8694E" w:rsidP="00D8694E">
      <w:pPr>
        <w:spacing w:before="240" w:after="0" w:line="240" w:lineRule="auto"/>
        <w:jc w:val="both"/>
        <w:rPr>
          <w:rFonts w:ascii="Garamond" w:eastAsia="Garamond" w:hAnsi="Garamond" w:cs="Garamond"/>
          <w:b/>
          <w:color w:val="1F4E79"/>
          <w:kern w:val="0"/>
          <w:sz w:val="24"/>
          <w:szCs w:val="24"/>
          <w14:ligatures w14:val="none"/>
        </w:rPr>
      </w:pPr>
      <w:r w:rsidRPr="00D8694E">
        <w:rPr>
          <w:rFonts w:ascii="Arial" w:eastAsia="Times New Roman" w:hAnsi="Arial" w:cs="Arial"/>
          <w:b/>
          <w:bCs/>
          <w:color w:val="0057A7"/>
          <w:kern w:val="36"/>
          <w:sz w:val="24"/>
          <w:szCs w:val="24"/>
          <w:lang w:eastAsia="it-IT"/>
          <w14:ligatures w14:val="none"/>
        </w:rPr>
        <w:t>9. DIRITTI DEGLI INTERESSATI</w:t>
      </w:r>
    </w:p>
    <w:p w14:paraId="5CAF49B6"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La informiamo, infine, che gli artt. 15-22 GDPR conferiscono agli interessati la possibilità di esercitare specifici diritti al ricorrere di determinati presupposti; l’interessato può ottenere dal Titolare del trattamento: l’accesso, la rettifica, la cancellazione, la limitazione del trattamento, la revoca del consenso nonché la portabilità dei dati che lo riguardano. L’interessato ha inoltre diritto di opposizione al trattamento. Nel caso in cui venga esercitato il diritto di opposizione il Titolare si riserva la possibilità di non dare seguito all’istanza, e quindi di proseguire il trattamento, nel caso in cui sussistano motivi legittimi cogenti per procedere al trattamento che prevalgono sugli interessi, diritti e libertà dell’interessato. I diritti di cui sopra ivi compresa la richiesta di non essere più destinatari della newsletter (opt-out) potranno essere esercitati con richiesta rivolta senza formalità al Data Protection Officer (DPO) al seguente indirizzo </w:t>
      </w:r>
      <w:hyperlink r:id="rId5" w:history="1">
        <w:r w:rsidRPr="00D8694E">
          <w:rPr>
            <w:rFonts w:ascii="inherit" w:eastAsia="Times New Roman" w:hAnsi="inherit" w:cs="Arial"/>
            <w:color w:val="0563C1"/>
            <w:kern w:val="0"/>
            <w:sz w:val="24"/>
            <w:szCs w:val="24"/>
            <w:u w:val="single"/>
            <w:lang w:eastAsia="it-IT"/>
            <w14:ligatures w14:val="none"/>
          </w:rPr>
          <w:t>dpo@adr.it</w:t>
        </w:r>
      </w:hyperlink>
      <w:r w:rsidRPr="00D8694E">
        <w:rPr>
          <w:rFonts w:ascii="inherit" w:eastAsia="Times New Roman" w:hAnsi="inherit" w:cs="Arial"/>
          <w:color w:val="616972"/>
          <w:kern w:val="0"/>
          <w:sz w:val="24"/>
          <w:szCs w:val="24"/>
          <w:lang w:eastAsia="it-IT"/>
          <w14:ligatures w14:val="none"/>
        </w:rPr>
        <w:t>. Resta fermo il diritto dell’interessato di proporre reclamo all’Autorità Garante ai sensi dell’art. 77, GDPR.</w:t>
      </w:r>
    </w:p>
    <w:p w14:paraId="4BABB8A9"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p>
    <w:p w14:paraId="15D81AAA" w14:textId="77777777"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Il Titolare si riserva di aggiornare la presente informativa.</w:t>
      </w:r>
    </w:p>
    <w:p w14:paraId="1E83BB7C" w14:textId="3DB6C391" w:rsidR="00D8694E" w:rsidRPr="00D8694E" w:rsidRDefault="00D8694E" w:rsidP="00D8694E">
      <w:pPr>
        <w:spacing w:before="240" w:after="0" w:line="240" w:lineRule="auto"/>
        <w:jc w:val="both"/>
        <w:rPr>
          <w:rFonts w:ascii="inherit" w:eastAsia="Times New Roman" w:hAnsi="inherit" w:cs="Arial"/>
          <w:color w:val="616972"/>
          <w:kern w:val="0"/>
          <w:sz w:val="24"/>
          <w:szCs w:val="24"/>
          <w:lang w:eastAsia="it-IT"/>
          <w14:ligatures w14:val="none"/>
        </w:rPr>
      </w:pPr>
      <w:r w:rsidRPr="00D8694E">
        <w:rPr>
          <w:rFonts w:ascii="inherit" w:eastAsia="Times New Roman" w:hAnsi="inherit" w:cs="Arial"/>
          <w:color w:val="616972"/>
          <w:kern w:val="0"/>
          <w:sz w:val="24"/>
          <w:szCs w:val="24"/>
          <w:lang w:eastAsia="it-IT"/>
          <w14:ligatures w14:val="none"/>
        </w:rPr>
        <w:t xml:space="preserve">Data ultimo aggiornamento: </w:t>
      </w:r>
      <w:r w:rsidR="00BF3B6D">
        <w:rPr>
          <w:rFonts w:ascii="inherit" w:eastAsia="Times New Roman" w:hAnsi="inherit" w:cs="Arial"/>
          <w:color w:val="616972"/>
          <w:kern w:val="0"/>
          <w:sz w:val="24"/>
          <w:szCs w:val="24"/>
          <w:lang w:eastAsia="it-IT"/>
          <w14:ligatures w14:val="none"/>
        </w:rPr>
        <w:t>Aprile</w:t>
      </w:r>
      <w:r w:rsidRPr="00D8694E">
        <w:rPr>
          <w:rFonts w:ascii="inherit" w:eastAsia="Times New Roman" w:hAnsi="inherit" w:cs="Arial"/>
          <w:color w:val="616972"/>
          <w:kern w:val="0"/>
          <w:sz w:val="24"/>
          <w:szCs w:val="24"/>
          <w:lang w:eastAsia="it-IT"/>
          <w14:ligatures w14:val="none"/>
        </w:rPr>
        <w:t xml:space="preserve"> 2024</w:t>
      </w:r>
    </w:p>
    <w:bookmarkEnd w:id="0"/>
    <w:p w14:paraId="7704859F" w14:textId="77777777" w:rsidR="0008788F" w:rsidRDefault="0008788F"/>
    <w:sectPr w:rsidR="000878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4E"/>
    <w:rsid w:val="0001306C"/>
    <w:rsid w:val="0008788F"/>
    <w:rsid w:val="009F044F"/>
    <w:rsid w:val="00BF3B6D"/>
    <w:rsid w:val="00D86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2FB"/>
  <w15:chartTrackingRefBased/>
  <w15:docId w15:val="{48C7E199-E8BD-4936-BFDC-40EDDA3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869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869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8694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8694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8694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8694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8694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8694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8694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694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8694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8694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8694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8694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8694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8694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8694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8694E"/>
    <w:rPr>
      <w:rFonts w:eastAsiaTheme="majorEastAsia" w:cstheme="majorBidi"/>
      <w:color w:val="272727" w:themeColor="text1" w:themeTint="D8"/>
    </w:rPr>
  </w:style>
  <w:style w:type="paragraph" w:styleId="Titolo">
    <w:name w:val="Title"/>
    <w:basedOn w:val="Normale"/>
    <w:next w:val="Normale"/>
    <w:link w:val="TitoloCarattere"/>
    <w:uiPriority w:val="10"/>
    <w:qFormat/>
    <w:rsid w:val="00D869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694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8694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8694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8694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8694E"/>
    <w:rPr>
      <w:i/>
      <w:iCs/>
      <w:color w:val="404040" w:themeColor="text1" w:themeTint="BF"/>
    </w:rPr>
  </w:style>
  <w:style w:type="paragraph" w:styleId="Paragrafoelenco">
    <w:name w:val="List Paragraph"/>
    <w:basedOn w:val="Normale"/>
    <w:uiPriority w:val="34"/>
    <w:qFormat/>
    <w:rsid w:val="00D8694E"/>
    <w:pPr>
      <w:ind w:left="720"/>
      <w:contextualSpacing/>
    </w:pPr>
  </w:style>
  <w:style w:type="character" w:styleId="Enfasiintensa">
    <w:name w:val="Intense Emphasis"/>
    <w:basedOn w:val="Carpredefinitoparagrafo"/>
    <w:uiPriority w:val="21"/>
    <w:qFormat/>
    <w:rsid w:val="00D8694E"/>
    <w:rPr>
      <w:i/>
      <w:iCs/>
      <w:color w:val="0F4761" w:themeColor="accent1" w:themeShade="BF"/>
    </w:rPr>
  </w:style>
  <w:style w:type="paragraph" w:styleId="Citazioneintensa">
    <w:name w:val="Intense Quote"/>
    <w:basedOn w:val="Normale"/>
    <w:next w:val="Normale"/>
    <w:link w:val="CitazioneintensaCarattere"/>
    <w:uiPriority w:val="30"/>
    <w:qFormat/>
    <w:rsid w:val="00D869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8694E"/>
    <w:rPr>
      <w:i/>
      <w:iCs/>
      <w:color w:val="0F4761" w:themeColor="accent1" w:themeShade="BF"/>
    </w:rPr>
  </w:style>
  <w:style w:type="character" w:styleId="Riferimentointenso">
    <w:name w:val="Intense Reference"/>
    <w:basedOn w:val="Carpredefinitoparagrafo"/>
    <w:uiPriority w:val="32"/>
    <w:qFormat/>
    <w:rsid w:val="00D869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adr.it" TargetMode="External"/><Relationship Id="rId4" Type="http://schemas.openxmlformats.org/officeDocument/2006/relationships/hyperlink" Target="http://www.ad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Bernardini Flavia</dc:creator>
  <cp:keywords/>
  <dc:description/>
  <cp:lastModifiedBy>Bernardini Flavia</cp:lastModifiedBy>
  <cp:revision>2</cp:revision>
  <dcterms:created xsi:type="dcterms:W3CDTF">2024-02-21T10:51:00Z</dcterms:created>
  <dcterms:modified xsi:type="dcterms:W3CDTF">2024-04-16T15:12:00Z</dcterms:modified>
</cp:coreProperties>
</file>